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A1FA7" w14:textId="77777777" w:rsidR="00974EE6" w:rsidRPr="00C37EB7" w:rsidRDefault="00974EE6" w:rsidP="00C37EB7">
      <w:pPr>
        <w:spacing w:line="480" w:lineRule="auto"/>
        <w:ind w:left="720" w:hanging="360"/>
        <w:rPr>
          <w:rFonts w:ascii="Times New Roman" w:hAnsi="Times New Roman" w:cs="Times New Roman"/>
          <w:sz w:val="24"/>
          <w:szCs w:val="24"/>
        </w:rPr>
      </w:pPr>
    </w:p>
    <w:p w14:paraId="27D7E4B1" w14:textId="77777777" w:rsidR="00974EE6" w:rsidRPr="00C37EB7" w:rsidRDefault="00974EE6" w:rsidP="00C37EB7">
      <w:pPr>
        <w:spacing w:line="480" w:lineRule="auto"/>
        <w:ind w:left="720" w:hanging="360"/>
        <w:rPr>
          <w:rFonts w:ascii="Times New Roman" w:hAnsi="Times New Roman" w:cs="Times New Roman"/>
          <w:sz w:val="24"/>
          <w:szCs w:val="24"/>
        </w:rPr>
      </w:pPr>
    </w:p>
    <w:p w14:paraId="1759878E" w14:textId="77777777" w:rsidR="00974EE6" w:rsidRPr="00C37EB7" w:rsidRDefault="00974EE6" w:rsidP="00C37EB7">
      <w:pPr>
        <w:spacing w:line="480" w:lineRule="auto"/>
        <w:ind w:left="720" w:hanging="360"/>
        <w:rPr>
          <w:rFonts w:ascii="Times New Roman" w:hAnsi="Times New Roman" w:cs="Times New Roman"/>
          <w:sz w:val="24"/>
          <w:szCs w:val="24"/>
        </w:rPr>
      </w:pPr>
    </w:p>
    <w:p w14:paraId="15BDF37F" w14:textId="04EF90D9"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Definition of Concepts</w:t>
      </w:r>
    </w:p>
    <w:p w14:paraId="2599355D" w14:textId="77777777"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Student’s name</w:t>
      </w:r>
    </w:p>
    <w:p w14:paraId="01A0FB1E" w14:textId="77777777"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Institutional affiliation</w:t>
      </w:r>
    </w:p>
    <w:p w14:paraId="17CE6892" w14:textId="77777777"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Course-name</w:t>
      </w:r>
    </w:p>
    <w:p w14:paraId="648E6521" w14:textId="77777777"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Course number</w:t>
      </w:r>
    </w:p>
    <w:p w14:paraId="0332A043" w14:textId="45CAA241" w:rsidR="00974EE6" w:rsidRPr="00C37EB7" w:rsidRDefault="00974EE6" w:rsidP="00C37EB7">
      <w:pPr>
        <w:spacing w:line="480" w:lineRule="auto"/>
        <w:ind w:left="720" w:hanging="360"/>
        <w:jc w:val="center"/>
        <w:rPr>
          <w:rFonts w:ascii="Times New Roman" w:hAnsi="Times New Roman" w:cs="Times New Roman"/>
          <w:sz w:val="24"/>
          <w:szCs w:val="24"/>
        </w:rPr>
      </w:pPr>
      <w:r w:rsidRPr="00C37EB7">
        <w:rPr>
          <w:rFonts w:ascii="Times New Roman" w:hAnsi="Times New Roman" w:cs="Times New Roman"/>
          <w:sz w:val="24"/>
          <w:szCs w:val="24"/>
        </w:rPr>
        <w:t>Date of submission</w:t>
      </w:r>
    </w:p>
    <w:p w14:paraId="4596829D" w14:textId="3A1DA298" w:rsidR="00974EE6" w:rsidRPr="00C37EB7" w:rsidRDefault="00974EE6" w:rsidP="00C37EB7">
      <w:pPr>
        <w:spacing w:line="480" w:lineRule="auto"/>
        <w:ind w:left="720" w:hanging="360"/>
        <w:rPr>
          <w:rFonts w:ascii="Times New Roman" w:hAnsi="Times New Roman" w:cs="Times New Roman"/>
          <w:sz w:val="24"/>
          <w:szCs w:val="24"/>
        </w:rPr>
      </w:pPr>
    </w:p>
    <w:p w14:paraId="1DF367BB" w14:textId="1DDF217D" w:rsidR="00974EE6" w:rsidRPr="00C37EB7" w:rsidRDefault="00974EE6" w:rsidP="00C37EB7">
      <w:pPr>
        <w:spacing w:line="480" w:lineRule="auto"/>
        <w:ind w:left="720" w:hanging="360"/>
        <w:rPr>
          <w:rFonts w:ascii="Times New Roman" w:hAnsi="Times New Roman" w:cs="Times New Roman"/>
          <w:sz w:val="24"/>
          <w:szCs w:val="24"/>
        </w:rPr>
      </w:pPr>
    </w:p>
    <w:p w14:paraId="141486DD" w14:textId="72868694" w:rsidR="00974EE6" w:rsidRPr="00C37EB7" w:rsidRDefault="00974EE6" w:rsidP="00C37EB7">
      <w:pPr>
        <w:spacing w:line="480" w:lineRule="auto"/>
        <w:ind w:left="720" w:hanging="360"/>
        <w:rPr>
          <w:rFonts w:ascii="Times New Roman" w:hAnsi="Times New Roman" w:cs="Times New Roman"/>
          <w:sz w:val="24"/>
          <w:szCs w:val="24"/>
        </w:rPr>
      </w:pPr>
    </w:p>
    <w:p w14:paraId="2DE5C1BF" w14:textId="6246781A" w:rsidR="00974EE6" w:rsidRPr="00C37EB7" w:rsidRDefault="00974EE6" w:rsidP="00C37EB7">
      <w:pPr>
        <w:spacing w:line="480" w:lineRule="auto"/>
        <w:ind w:left="720" w:hanging="360"/>
        <w:rPr>
          <w:rFonts w:ascii="Times New Roman" w:hAnsi="Times New Roman" w:cs="Times New Roman"/>
          <w:sz w:val="24"/>
          <w:szCs w:val="24"/>
        </w:rPr>
      </w:pPr>
    </w:p>
    <w:p w14:paraId="447A74BB" w14:textId="28DD0A5E" w:rsidR="00974EE6" w:rsidRPr="00C37EB7" w:rsidRDefault="00974EE6" w:rsidP="00C37EB7">
      <w:pPr>
        <w:spacing w:line="480" w:lineRule="auto"/>
        <w:ind w:left="720" w:hanging="360"/>
        <w:rPr>
          <w:rFonts w:ascii="Times New Roman" w:hAnsi="Times New Roman" w:cs="Times New Roman"/>
          <w:sz w:val="24"/>
          <w:szCs w:val="24"/>
        </w:rPr>
      </w:pPr>
    </w:p>
    <w:p w14:paraId="42E38939" w14:textId="2E1417B7" w:rsidR="00974EE6" w:rsidRPr="00C37EB7" w:rsidRDefault="00974EE6" w:rsidP="00C37EB7">
      <w:pPr>
        <w:spacing w:line="480" w:lineRule="auto"/>
        <w:ind w:left="720" w:hanging="360"/>
        <w:rPr>
          <w:rFonts w:ascii="Times New Roman" w:hAnsi="Times New Roman" w:cs="Times New Roman"/>
          <w:sz w:val="24"/>
          <w:szCs w:val="24"/>
        </w:rPr>
      </w:pPr>
    </w:p>
    <w:p w14:paraId="53DE904F" w14:textId="1C5315D2" w:rsidR="00974EE6" w:rsidRPr="00C37EB7" w:rsidRDefault="00974EE6" w:rsidP="00C37EB7">
      <w:pPr>
        <w:spacing w:line="480" w:lineRule="auto"/>
        <w:ind w:left="720" w:hanging="360"/>
        <w:rPr>
          <w:rFonts w:ascii="Times New Roman" w:hAnsi="Times New Roman" w:cs="Times New Roman"/>
          <w:sz w:val="24"/>
          <w:szCs w:val="24"/>
        </w:rPr>
      </w:pPr>
    </w:p>
    <w:p w14:paraId="0DE15335" w14:textId="75947AF8" w:rsidR="00974EE6" w:rsidRPr="00C37EB7" w:rsidRDefault="00974EE6" w:rsidP="00C37EB7">
      <w:pPr>
        <w:spacing w:line="480" w:lineRule="auto"/>
        <w:rPr>
          <w:rFonts w:ascii="Times New Roman" w:hAnsi="Times New Roman" w:cs="Times New Roman"/>
          <w:sz w:val="24"/>
          <w:szCs w:val="24"/>
        </w:rPr>
      </w:pPr>
    </w:p>
    <w:p w14:paraId="5C3E6764" w14:textId="77777777" w:rsidR="00974EE6" w:rsidRPr="00C37EB7" w:rsidRDefault="00974EE6" w:rsidP="00C37EB7">
      <w:pPr>
        <w:spacing w:line="480" w:lineRule="auto"/>
        <w:rPr>
          <w:rFonts w:ascii="Times New Roman" w:hAnsi="Times New Roman" w:cs="Times New Roman"/>
          <w:sz w:val="24"/>
          <w:szCs w:val="24"/>
        </w:rPr>
      </w:pPr>
    </w:p>
    <w:p w14:paraId="2DA16F61" w14:textId="72B5F124" w:rsidR="00D6520E"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lastRenderedPageBreak/>
        <w:t>Public Health is the art, science, and practice of averting diseases, improving the quality of life, and life-prolonging through informed and organized efforts of the communities, society, individuals, and organizations (Ros &amp; Saxe, 2020).</w:t>
      </w:r>
      <w:r w:rsidR="00B50024" w:rsidRPr="00C37EB7">
        <w:rPr>
          <w:rFonts w:ascii="Times New Roman" w:hAnsi="Times New Roman" w:cs="Times New Roman"/>
          <w:sz w:val="24"/>
          <w:szCs w:val="24"/>
        </w:rPr>
        <w:t xml:space="preserve"> The foundation of</w:t>
      </w:r>
      <w:r w:rsidRPr="00C37EB7">
        <w:rPr>
          <w:rFonts w:ascii="Times New Roman" w:hAnsi="Times New Roman" w:cs="Times New Roman"/>
          <w:sz w:val="24"/>
          <w:szCs w:val="24"/>
        </w:rPr>
        <w:t xml:space="preserve"> </w:t>
      </w:r>
      <w:r w:rsidR="00B50024" w:rsidRPr="00C37EB7">
        <w:rPr>
          <w:rFonts w:ascii="Times New Roman" w:hAnsi="Times New Roman" w:cs="Times New Roman"/>
          <w:sz w:val="24"/>
          <w:szCs w:val="24"/>
        </w:rPr>
        <w:t xml:space="preserve">health of the population determinant's analyzation and the faced risks. The public health concept incorporates the well-being socially, psychologically, and physically, therefore, do not major only on the absence of disease. Public health </w:t>
      </w:r>
      <w:r w:rsidR="007F1F62" w:rsidRPr="00C37EB7">
        <w:rPr>
          <w:rFonts w:ascii="Times New Roman" w:hAnsi="Times New Roman" w:cs="Times New Roman"/>
          <w:sz w:val="24"/>
          <w:szCs w:val="24"/>
        </w:rPr>
        <w:t xml:space="preserve">aims to improve life quality by treatment and prevention of diseases such as mental health, which can be achieved by observing health indicators and cases and healthy behaviors promotion. The initiatives of Public Health </w:t>
      </w:r>
      <w:r w:rsidRPr="00C37EB7">
        <w:rPr>
          <w:rFonts w:ascii="Times New Roman" w:hAnsi="Times New Roman" w:cs="Times New Roman"/>
          <w:sz w:val="24"/>
          <w:szCs w:val="24"/>
        </w:rPr>
        <w:t>consist</w:t>
      </w:r>
      <w:r w:rsidR="007F1F62" w:rsidRPr="00C37EB7">
        <w:rPr>
          <w:rFonts w:ascii="Times New Roman" w:hAnsi="Times New Roman" w:cs="Times New Roman"/>
          <w:sz w:val="24"/>
          <w:szCs w:val="24"/>
        </w:rPr>
        <w:t xml:space="preserve"> of increasing the accessibility of health care, sexually transmitted disease spread control</w:t>
      </w:r>
      <w:r w:rsidR="00B3192E" w:rsidRPr="00C37EB7">
        <w:rPr>
          <w:rFonts w:ascii="Times New Roman" w:hAnsi="Times New Roman" w:cs="Times New Roman"/>
          <w:sz w:val="24"/>
          <w:szCs w:val="24"/>
        </w:rPr>
        <w:t>, and distribution of vaccines in the required areas.</w:t>
      </w:r>
    </w:p>
    <w:p w14:paraId="39655DFF" w14:textId="42D175DF" w:rsidR="00B3192E"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A disease is a specific abnormal situation that negatively affects the function or structure of part or all of an organism</w:t>
      </w:r>
      <w:r w:rsidR="00062A53" w:rsidRPr="00C37EB7">
        <w:rPr>
          <w:rFonts w:ascii="Times New Roman" w:hAnsi="Times New Roman" w:cs="Times New Roman"/>
          <w:sz w:val="24"/>
          <w:szCs w:val="24"/>
        </w:rPr>
        <w:t xml:space="preserve"> </w:t>
      </w:r>
      <w:bookmarkStart w:id="0" w:name="_Hlk53680882"/>
      <w:r w:rsidR="00062A53" w:rsidRPr="00C37EB7">
        <w:rPr>
          <w:rFonts w:ascii="Times New Roman" w:hAnsi="Times New Roman" w:cs="Times New Roman"/>
          <w:sz w:val="24"/>
          <w:szCs w:val="24"/>
        </w:rPr>
        <w:t>(</w:t>
      </w:r>
      <w:proofErr w:type="spellStart"/>
      <w:r w:rsidR="00062A53" w:rsidRPr="00C37EB7">
        <w:rPr>
          <w:rFonts w:ascii="Times New Roman" w:hAnsi="Times New Roman" w:cs="Times New Roman"/>
          <w:sz w:val="24"/>
          <w:szCs w:val="24"/>
        </w:rPr>
        <w:t>Garba</w:t>
      </w:r>
      <w:proofErr w:type="spellEnd"/>
      <w:r w:rsidR="00062A53" w:rsidRPr="00C37EB7">
        <w:rPr>
          <w:rFonts w:ascii="Times New Roman" w:hAnsi="Times New Roman" w:cs="Times New Roman"/>
          <w:sz w:val="24"/>
          <w:szCs w:val="24"/>
        </w:rPr>
        <w:t xml:space="preserve"> &amp; </w:t>
      </w:r>
      <w:proofErr w:type="spellStart"/>
      <w:r w:rsidR="00062A53" w:rsidRPr="00C37EB7">
        <w:rPr>
          <w:rFonts w:ascii="Times New Roman" w:hAnsi="Times New Roman" w:cs="Times New Roman"/>
          <w:sz w:val="24"/>
          <w:szCs w:val="24"/>
        </w:rPr>
        <w:t>Gadanya</w:t>
      </w:r>
      <w:proofErr w:type="spellEnd"/>
      <w:r w:rsidR="00062A53" w:rsidRPr="00C37EB7">
        <w:rPr>
          <w:rFonts w:ascii="Times New Roman" w:hAnsi="Times New Roman" w:cs="Times New Roman"/>
          <w:sz w:val="24"/>
          <w:szCs w:val="24"/>
        </w:rPr>
        <w:t>, 2017)</w:t>
      </w:r>
      <w:r w:rsidRPr="00C37EB7">
        <w:rPr>
          <w:rFonts w:ascii="Times New Roman" w:hAnsi="Times New Roman" w:cs="Times New Roman"/>
          <w:sz w:val="24"/>
          <w:szCs w:val="24"/>
        </w:rPr>
        <w:t xml:space="preserve">. </w:t>
      </w:r>
      <w:bookmarkEnd w:id="0"/>
      <w:r w:rsidRPr="00C37EB7">
        <w:rPr>
          <w:rFonts w:ascii="Times New Roman" w:hAnsi="Times New Roman" w:cs="Times New Roman"/>
          <w:sz w:val="24"/>
          <w:szCs w:val="24"/>
        </w:rPr>
        <w:t>It</w:t>
      </w:r>
      <w:r w:rsidR="00A3288B" w:rsidRPr="00C37EB7">
        <w:rPr>
          <w:rFonts w:ascii="Times New Roman" w:hAnsi="Times New Roman" w:cs="Times New Roman"/>
          <w:sz w:val="24"/>
          <w:szCs w:val="24"/>
        </w:rPr>
        <w:t xml:space="preserve"> is not as a result of any direct injury externally. It is linked to specific signs and symptoms. It can be said to be caused by immune system internal dysfunctions and external factors like pathogens. To humans, it broadly referrers to any circumstance that may lead to dis</w:t>
      </w:r>
      <w:r w:rsidR="00B765C9" w:rsidRPr="00C37EB7">
        <w:rPr>
          <w:rFonts w:ascii="Times New Roman" w:hAnsi="Times New Roman" w:cs="Times New Roman"/>
          <w:sz w:val="24"/>
          <w:szCs w:val="24"/>
        </w:rPr>
        <w:t>t</w:t>
      </w:r>
      <w:r w:rsidR="00A3288B" w:rsidRPr="00C37EB7">
        <w:rPr>
          <w:rFonts w:ascii="Times New Roman" w:hAnsi="Times New Roman" w:cs="Times New Roman"/>
          <w:sz w:val="24"/>
          <w:szCs w:val="24"/>
        </w:rPr>
        <w:t xml:space="preserve">ress, pain, </w:t>
      </w:r>
      <w:r w:rsidR="001A5C5C" w:rsidRPr="00C37EB7">
        <w:rPr>
          <w:rFonts w:ascii="Times New Roman" w:hAnsi="Times New Roman" w:cs="Times New Roman"/>
          <w:sz w:val="24"/>
          <w:szCs w:val="24"/>
        </w:rPr>
        <w:t>social difficulties, or death to the affected individual. Other times, it incorporates disabilities, abnormal behaviors, disorders, or injuries to the person.</w:t>
      </w:r>
    </w:p>
    <w:p w14:paraId="2AAB906F" w14:textId="725C03A1" w:rsidR="001A5C5C" w:rsidRPr="00C37EB7" w:rsidRDefault="00062A53"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Ros &amp; Saxe, 2020, suggests that h</w:t>
      </w:r>
      <w:r w:rsidR="00FD4D8F" w:rsidRPr="00C37EB7">
        <w:rPr>
          <w:rFonts w:ascii="Times New Roman" w:hAnsi="Times New Roman" w:cs="Times New Roman"/>
          <w:sz w:val="24"/>
          <w:szCs w:val="24"/>
        </w:rPr>
        <w:t>ealth is the complete physical, psychological and emotional well being of a person. Perfect health includes the capability to handle stress and also to live a more active and longer life. It can be termed as an everyday life resource and mainly dwells on the personal and social resources and physical capacities. This implies that it is a supporting resource to the function of an individual in broad society.</w:t>
      </w:r>
      <w:r w:rsidR="00FD7111" w:rsidRPr="00C37EB7">
        <w:rPr>
          <w:rFonts w:ascii="Times New Roman" w:hAnsi="Times New Roman" w:cs="Times New Roman"/>
          <w:sz w:val="24"/>
          <w:szCs w:val="24"/>
        </w:rPr>
        <w:t xml:space="preserve"> It can also be said to be the extent to which a group or an individual will satisfy </w:t>
      </w:r>
      <w:r w:rsidR="00FD7111" w:rsidRPr="00C37EB7">
        <w:rPr>
          <w:rFonts w:ascii="Times New Roman" w:hAnsi="Times New Roman" w:cs="Times New Roman"/>
          <w:sz w:val="24"/>
          <w:szCs w:val="24"/>
        </w:rPr>
        <w:lastRenderedPageBreak/>
        <w:t>requirements and understand aspirations and cope or change according to the environment. Therefore, it referrers to the maintenance of homeostasis and insults recovery ability.</w:t>
      </w:r>
    </w:p>
    <w:p w14:paraId="551CD0D0" w14:textId="16B8C342" w:rsidR="00FD7111" w:rsidRPr="00C37EB7" w:rsidRDefault="00062A53" w:rsidP="00C37EB7">
      <w:pPr>
        <w:pStyle w:val="ListParagraph"/>
        <w:numPr>
          <w:ilvl w:val="0"/>
          <w:numId w:val="1"/>
        </w:numPr>
        <w:spacing w:line="480" w:lineRule="auto"/>
        <w:rPr>
          <w:rFonts w:ascii="Times New Roman" w:hAnsi="Times New Roman" w:cs="Times New Roman"/>
          <w:sz w:val="24"/>
          <w:szCs w:val="24"/>
        </w:rPr>
      </w:pPr>
      <w:bookmarkStart w:id="1" w:name="_Hlk53680659"/>
      <w:r w:rsidRPr="00C37EB7">
        <w:rPr>
          <w:rFonts w:ascii="Times New Roman" w:hAnsi="Times New Roman" w:cs="Times New Roman"/>
          <w:sz w:val="24"/>
          <w:szCs w:val="24"/>
        </w:rPr>
        <w:t>Ros &amp; Saxe, 2020</w:t>
      </w:r>
      <w:bookmarkEnd w:id="1"/>
      <w:r w:rsidRPr="00C37EB7">
        <w:rPr>
          <w:rFonts w:ascii="Times New Roman" w:hAnsi="Times New Roman" w:cs="Times New Roman"/>
          <w:sz w:val="24"/>
          <w:szCs w:val="24"/>
        </w:rPr>
        <w:t>, notes that h</w:t>
      </w:r>
      <w:r w:rsidR="00FD4D8F" w:rsidRPr="00C37EB7">
        <w:rPr>
          <w:rFonts w:ascii="Times New Roman" w:hAnsi="Times New Roman" w:cs="Times New Roman"/>
          <w:sz w:val="24"/>
          <w:szCs w:val="24"/>
        </w:rPr>
        <w:t>ealth promotion is the medical and social science of behavior that draws from the psychological, physical, and environmental for disease prevention</w:t>
      </w:r>
      <w:r w:rsidR="0042435F" w:rsidRPr="00C37EB7">
        <w:rPr>
          <w:rFonts w:ascii="Times New Roman" w:hAnsi="Times New Roman" w:cs="Times New Roman"/>
          <w:sz w:val="24"/>
          <w:szCs w:val="24"/>
        </w:rPr>
        <w:t xml:space="preserve">, </w:t>
      </w:r>
      <w:r w:rsidR="00FD4D8F" w:rsidRPr="00C37EB7">
        <w:rPr>
          <w:rFonts w:ascii="Times New Roman" w:hAnsi="Times New Roman" w:cs="Times New Roman"/>
          <w:sz w:val="24"/>
          <w:szCs w:val="24"/>
        </w:rPr>
        <w:t>health promotion</w:t>
      </w:r>
      <w:r w:rsidR="0042435F" w:rsidRPr="00C37EB7">
        <w:rPr>
          <w:rFonts w:ascii="Times New Roman" w:hAnsi="Times New Roman" w:cs="Times New Roman"/>
          <w:sz w:val="24"/>
          <w:szCs w:val="24"/>
        </w:rPr>
        <w:t xml:space="preserve">, premature death, and disabilities through activities of voluntary behavior change that are education-driven. Therefore, it is the institutional, community, individuals, and structured policies for improving health knowledge. It also aims at enhancing the skills, behavior, and attitudes related to health. Its objective is to determine the individual's and communities' health behavior positively. Additionally, it positively influences the working and living conditions that affect the health of communities and individuals. Through prevention strategies focus, it reduces </w:t>
      </w:r>
      <w:r w:rsidR="002E016E" w:rsidRPr="00C37EB7">
        <w:rPr>
          <w:rFonts w:ascii="Times New Roman" w:hAnsi="Times New Roman" w:cs="Times New Roman"/>
          <w:sz w:val="24"/>
          <w:szCs w:val="24"/>
        </w:rPr>
        <w:t>incurred costs for medical treatment.</w:t>
      </w:r>
    </w:p>
    <w:p w14:paraId="6AEC0A35" w14:textId="45892F3F" w:rsidR="002E016E"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 xml:space="preserve">Disease prevention is the process of inducting actions and strategies </w:t>
      </w:r>
      <w:r w:rsidR="00D6520E" w:rsidRPr="00C37EB7">
        <w:rPr>
          <w:rFonts w:ascii="Times New Roman" w:hAnsi="Times New Roman" w:cs="Times New Roman"/>
          <w:sz w:val="24"/>
          <w:szCs w:val="24"/>
        </w:rPr>
        <w:t>that aim at reducing or risk exposure that may increase the chances of a group or individuals incurring a disease</w:t>
      </w:r>
      <w:r w:rsidR="00062A53" w:rsidRPr="00C37EB7">
        <w:rPr>
          <w:rFonts w:ascii="Times New Roman" w:hAnsi="Times New Roman" w:cs="Times New Roman"/>
          <w:sz w:val="24"/>
          <w:szCs w:val="24"/>
        </w:rPr>
        <w:t xml:space="preserve"> </w:t>
      </w:r>
      <w:r w:rsidRPr="00C37EB7">
        <w:rPr>
          <w:rFonts w:ascii="Times New Roman" w:hAnsi="Times New Roman" w:cs="Times New Roman"/>
          <w:sz w:val="24"/>
          <w:szCs w:val="24"/>
        </w:rPr>
        <w:t>(</w:t>
      </w:r>
      <w:proofErr w:type="spellStart"/>
      <w:r w:rsidRPr="00C37EB7">
        <w:rPr>
          <w:rFonts w:ascii="Times New Roman" w:hAnsi="Times New Roman" w:cs="Times New Roman"/>
          <w:sz w:val="24"/>
          <w:szCs w:val="24"/>
        </w:rPr>
        <w:t>Garba</w:t>
      </w:r>
      <w:proofErr w:type="spellEnd"/>
      <w:r w:rsidRPr="00C37EB7">
        <w:rPr>
          <w:rFonts w:ascii="Times New Roman" w:hAnsi="Times New Roman" w:cs="Times New Roman"/>
          <w:sz w:val="24"/>
          <w:szCs w:val="24"/>
        </w:rPr>
        <w:t xml:space="preserve"> &amp; </w:t>
      </w:r>
      <w:proofErr w:type="spellStart"/>
      <w:r w:rsidRPr="00C37EB7">
        <w:rPr>
          <w:rFonts w:ascii="Times New Roman" w:hAnsi="Times New Roman" w:cs="Times New Roman"/>
          <w:sz w:val="24"/>
          <w:szCs w:val="24"/>
        </w:rPr>
        <w:t>Gadanya</w:t>
      </w:r>
      <w:proofErr w:type="spellEnd"/>
      <w:r w:rsidRPr="00C37EB7">
        <w:rPr>
          <w:rFonts w:ascii="Times New Roman" w:hAnsi="Times New Roman" w:cs="Times New Roman"/>
          <w:sz w:val="24"/>
          <w:szCs w:val="24"/>
        </w:rPr>
        <w:t xml:space="preserve">, 2017). </w:t>
      </w:r>
      <w:r w:rsidR="00D6520E" w:rsidRPr="00C37EB7">
        <w:rPr>
          <w:rFonts w:ascii="Times New Roman" w:hAnsi="Times New Roman" w:cs="Times New Roman"/>
          <w:sz w:val="24"/>
          <w:szCs w:val="24"/>
        </w:rPr>
        <w:t>This also incorporates the reduction or elimination of disabilities or premature deaths. It aims to identify health challenges for which preventive measures may lead to better health services utilization</w:t>
      </w:r>
      <w:r w:rsidR="00062A53" w:rsidRPr="00C37EB7">
        <w:rPr>
          <w:rFonts w:ascii="Times New Roman" w:hAnsi="Times New Roman" w:cs="Times New Roman"/>
          <w:sz w:val="24"/>
          <w:szCs w:val="24"/>
        </w:rPr>
        <w:t xml:space="preserve"> </w:t>
      </w:r>
      <w:bookmarkStart w:id="2" w:name="_Hlk53681061"/>
      <w:r w:rsidR="00062A53" w:rsidRPr="00C37EB7">
        <w:rPr>
          <w:rFonts w:ascii="Times New Roman" w:hAnsi="Times New Roman" w:cs="Times New Roman"/>
          <w:sz w:val="24"/>
          <w:szCs w:val="24"/>
        </w:rPr>
        <w:t>(</w:t>
      </w:r>
      <w:proofErr w:type="spellStart"/>
      <w:r w:rsidR="00062A53" w:rsidRPr="00C37EB7">
        <w:rPr>
          <w:rFonts w:ascii="Times New Roman" w:hAnsi="Times New Roman" w:cs="Times New Roman"/>
          <w:sz w:val="24"/>
          <w:szCs w:val="24"/>
        </w:rPr>
        <w:t>Garba</w:t>
      </w:r>
      <w:proofErr w:type="spellEnd"/>
      <w:r w:rsidR="00062A53" w:rsidRPr="00C37EB7">
        <w:rPr>
          <w:rFonts w:ascii="Times New Roman" w:hAnsi="Times New Roman" w:cs="Times New Roman"/>
          <w:sz w:val="24"/>
          <w:szCs w:val="24"/>
        </w:rPr>
        <w:t xml:space="preserve"> &amp; </w:t>
      </w:r>
      <w:proofErr w:type="spellStart"/>
      <w:r w:rsidR="00062A53" w:rsidRPr="00C37EB7">
        <w:rPr>
          <w:rFonts w:ascii="Times New Roman" w:hAnsi="Times New Roman" w:cs="Times New Roman"/>
          <w:sz w:val="24"/>
          <w:szCs w:val="24"/>
        </w:rPr>
        <w:t>Gadanya</w:t>
      </w:r>
      <w:proofErr w:type="spellEnd"/>
      <w:r w:rsidR="00062A53" w:rsidRPr="00C37EB7">
        <w:rPr>
          <w:rFonts w:ascii="Times New Roman" w:hAnsi="Times New Roman" w:cs="Times New Roman"/>
          <w:sz w:val="24"/>
          <w:szCs w:val="24"/>
        </w:rPr>
        <w:t>, 2017)</w:t>
      </w:r>
      <w:r w:rsidR="00D6520E" w:rsidRPr="00C37EB7">
        <w:rPr>
          <w:rFonts w:ascii="Times New Roman" w:hAnsi="Times New Roman" w:cs="Times New Roman"/>
          <w:sz w:val="24"/>
          <w:szCs w:val="24"/>
        </w:rPr>
        <w:t xml:space="preserve">. </w:t>
      </w:r>
      <w:bookmarkEnd w:id="2"/>
      <w:r w:rsidR="00D6520E" w:rsidRPr="00C37EB7">
        <w:rPr>
          <w:rFonts w:ascii="Times New Roman" w:hAnsi="Times New Roman" w:cs="Times New Roman"/>
          <w:sz w:val="24"/>
          <w:szCs w:val="24"/>
        </w:rPr>
        <w:t xml:space="preserve">Through disease prevention, the health status of individuals or groups is improved. This enhances better standards of the community and individuals through the elimination of the threats and risks. </w:t>
      </w:r>
    </w:p>
    <w:p w14:paraId="63C953FE" w14:textId="297EC482" w:rsidR="00566045"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 xml:space="preserve">Generally, health education can be described as the process of creating awareness to people concerning health matters. This broadly encompasses intellectual health, </w:t>
      </w:r>
      <w:r w:rsidRPr="00C37EB7">
        <w:rPr>
          <w:rFonts w:ascii="Times New Roman" w:hAnsi="Times New Roman" w:cs="Times New Roman"/>
          <w:sz w:val="24"/>
          <w:szCs w:val="24"/>
        </w:rPr>
        <w:lastRenderedPageBreak/>
        <w:t xml:space="preserve">emotional, social, physical health, spiritual health, reproductive, and sexual understanding. Therefore, health education can well be defined as the process in which groups and individuals learn to carry themselves in a particular manner conducive to maintaining, promoting, or restoring health. Additionally, it can be described as a set of learning experiences planned based on theories that people with the required skills and knowledge to make </w:t>
      </w:r>
      <w:r w:rsidR="009153AB" w:rsidRPr="00C37EB7">
        <w:rPr>
          <w:rFonts w:ascii="Times New Roman" w:hAnsi="Times New Roman" w:cs="Times New Roman"/>
          <w:sz w:val="24"/>
          <w:szCs w:val="24"/>
        </w:rPr>
        <w:t xml:space="preserve">desired health decisions. Therefore, individuals, communities, and groups of people can make better choices for their health. </w:t>
      </w:r>
    </w:p>
    <w:p w14:paraId="7F457D00" w14:textId="29CF42FE" w:rsidR="009153AB"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Standards are the level of attainment or quality. In other words, it is a measure, model, or norm in a comparative evaluation. From the health perspective, it can be described as the quality of health available to the people</w:t>
      </w:r>
      <w:r w:rsidR="00062A53" w:rsidRPr="00C37EB7">
        <w:rPr>
          <w:rFonts w:ascii="Times New Roman" w:hAnsi="Times New Roman" w:cs="Times New Roman"/>
          <w:sz w:val="24"/>
          <w:szCs w:val="24"/>
        </w:rPr>
        <w:t xml:space="preserve"> (Dean, et al 2019)</w:t>
      </w:r>
      <w:r w:rsidRPr="00C37EB7">
        <w:rPr>
          <w:rFonts w:ascii="Times New Roman" w:hAnsi="Times New Roman" w:cs="Times New Roman"/>
          <w:sz w:val="24"/>
          <w:szCs w:val="24"/>
        </w:rPr>
        <w:t>. This will be based on the set measure or level required to be met. Therefore, it will be low standards where the set measures are not met and high standards where they are met.</w:t>
      </w:r>
    </w:p>
    <w:p w14:paraId="12199DEB" w14:textId="0DD439B1" w:rsidR="009153AB" w:rsidRPr="00C37EB7" w:rsidRDefault="001B090A"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According to Gray, 2016, a</w:t>
      </w:r>
      <w:r w:rsidR="00FD4D8F" w:rsidRPr="00C37EB7">
        <w:rPr>
          <w:rFonts w:ascii="Times New Roman" w:hAnsi="Times New Roman" w:cs="Times New Roman"/>
          <w:sz w:val="24"/>
          <w:szCs w:val="24"/>
        </w:rPr>
        <w:t xml:space="preserve">dvanced nursing is a nursing area that expands and extends the nursing scope of practice boundaries. It accords to nursing knowledge as well as promoting professional advancement. Therefore, these are nursing interventions that are advanced and determine the outcomes of clinical healthcare. It is characterized by applying and integrating general evidence-based and theoretical knowledge that happens as a section of graduate nursing education. </w:t>
      </w:r>
    </w:p>
    <w:p w14:paraId="2014EBCE" w14:textId="6BA2E1FB" w:rsidR="007A762D" w:rsidRPr="00C37EB7" w:rsidRDefault="00FD4D8F" w:rsidP="00C37EB7">
      <w:pPr>
        <w:pStyle w:val="ListParagraph"/>
        <w:numPr>
          <w:ilvl w:val="0"/>
          <w:numId w:val="1"/>
        </w:numPr>
        <w:spacing w:line="480" w:lineRule="auto"/>
        <w:rPr>
          <w:rFonts w:ascii="Times New Roman" w:hAnsi="Times New Roman" w:cs="Times New Roman"/>
          <w:sz w:val="24"/>
          <w:szCs w:val="24"/>
        </w:rPr>
      </w:pPr>
      <w:r w:rsidRPr="00C37EB7">
        <w:rPr>
          <w:rFonts w:ascii="Times New Roman" w:hAnsi="Times New Roman" w:cs="Times New Roman"/>
          <w:sz w:val="24"/>
          <w:szCs w:val="24"/>
        </w:rPr>
        <w:t>Accreditation is an attestation involving capabilities formal demonstration to perform certain conformity assessment duties</w:t>
      </w:r>
      <w:r w:rsidR="00062A53" w:rsidRPr="00C37EB7">
        <w:rPr>
          <w:rFonts w:ascii="Times New Roman" w:hAnsi="Times New Roman" w:cs="Times New Roman"/>
          <w:sz w:val="24"/>
          <w:szCs w:val="24"/>
        </w:rPr>
        <w:t xml:space="preserve"> (</w:t>
      </w:r>
      <w:proofErr w:type="spellStart"/>
      <w:r w:rsidR="00062A53" w:rsidRPr="00C37EB7">
        <w:rPr>
          <w:rFonts w:ascii="Times New Roman" w:hAnsi="Times New Roman" w:cs="Times New Roman"/>
          <w:sz w:val="24"/>
          <w:szCs w:val="24"/>
        </w:rPr>
        <w:t>Kost</w:t>
      </w:r>
      <w:proofErr w:type="spellEnd"/>
      <w:r w:rsidR="00062A53" w:rsidRPr="00C37EB7">
        <w:rPr>
          <w:rFonts w:ascii="Times New Roman" w:hAnsi="Times New Roman" w:cs="Times New Roman"/>
          <w:sz w:val="24"/>
          <w:szCs w:val="24"/>
        </w:rPr>
        <w:t>, et al 2019)</w:t>
      </w:r>
      <w:r w:rsidRPr="00C37EB7">
        <w:rPr>
          <w:rFonts w:ascii="Times New Roman" w:hAnsi="Times New Roman" w:cs="Times New Roman"/>
          <w:sz w:val="24"/>
          <w:szCs w:val="24"/>
        </w:rPr>
        <w:t>. This includes inspection, testing, and certification. The attestation bodies incorporate the inspection body, laboratory, or certification body. The</w:t>
      </w:r>
      <w:r w:rsidR="0005480D" w:rsidRPr="00C37EB7">
        <w:rPr>
          <w:rFonts w:ascii="Times New Roman" w:hAnsi="Times New Roman" w:cs="Times New Roman"/>
          <w:sz w:val="24"/>
          <w:szCs w:val="24"/>
        </w:rPr>
        <w:t xml:space="preserve"> </w:t>
      </w:r>
      <w:r w:rsidRPr="00C37EB7">
        <w:rPr>
          <w:rFonts w:ascii="Times New Roman" w:hAnsi="Times New Roman" w:cs="Times New Roman"/>
          <w:sz w:val="24"/>
          <w:szCs w:val="24"/>
        </w:rPr>
        <w:t xml:space="preserve">authoritative body conducting the accreditation process is referred to as an accreditation body. In healthcare, the accreditation processes involve the Health </w:t>
      </w:r>
      <w:r w:rsidRPr="00C37EB7">
        <w:rPr>
          <w:rFonts w:ascii="Times New Roman" w:hAnsi="Times New Roman" w:cs="Times New Roman"/>
          <w:sz w:val="24"/>
          <w:szCs w:val="24"/>
        </w:rPr>
        <w:lastRenderedPageBreak/>
        <w:t xml:space="preserve">Care Accreditation Commission. There exists a variety of accreditation bodies that are internationally recognized. </w:t>
      </w:r>
    </w:p>
    <w:p w14:paraId="7FF89735" w14:textId="7ECDCFE6" w:rsidR="00974EE6" w:rsidRPr="00C37EB7" w:rsidRDefault="00974EE6" w:rsidP="00C37EB7">
      <w:pPr>
        <w:pStyle w:val="ListParagraph"/>
        <w:spacing w:line="480" w:lineRule="auto"/>
        <w:rPr>
          <w:rFonts w:ascii="Times New Roman" w:hAnsi="Times New Roman" w:cs="Times New Roman"/>
          <w:sz w:val="24"/>
          <w:szCs w:val="24"/>
        </w:rPr>
      </w:pPr>
    </w:p>
    <w:p w14:paraId="6AE59B48"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0F2C0A4C"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686FBB54"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3CD20B72"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6D3AF3A3" w14:textId="77777777" w:rsidR="00567C7B" w:rsidRPr="00C37EB7" w:rsidRDefault="00567C7B" w:rsidP="00C37EB7">
      <w:pPr>
        <w:pStyle w:val="ListParagraph"/>
        <w:spacing w:line="480" w:lineRule="auto"/>
        <w:jc w:val="center"/>
        <w:rPr>
          <w:rFonts w:ascii="Times New Roman" w:hAnsi="Times New Roman" w:cs="Times New Roman"/>
          <w:sz w:val="24"/>
          <w:szCs w:val="24"/>
        </w:rPr>
      </w:pPr>
      <w:bookmarkStart w:id="3" w:name="_GoBack"/>
      <w:bookmarkEnd w:id="3"/>
    </w:p>
    <w:p w14:paraId="1B11E484"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5B9D1458"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27907C03"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27C919F4"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2C25AEFF"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5C1D9EC1"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3EE7C84C"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4567CC6B"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0FF1B8F3"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0B159A94"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304B8925"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11D0627D"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121007B6"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2403A809"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58098883" w14:textId="77777777" w:rsidR="00567C7B" w:rsidRPr="00C37EB7" w:rsidRDefault="00567C7B" w:rsidP="00C37EB7">
      <w:pPr>
        <w:pStyle w:val="ListParagraph"/>
        <w:spacing w:line="480" w:lineRule="auto"/>
        <w:jc w:val="center"/>
        <w:rPr>
          <w:rFonts w:ascii="Times New Roman" w:hAnsi="Times New Roman" w:cs="Times New Roman"/>
          <w:sz w:val="24"/>
          <w:szCs w:val="24"/>
        </w:rPr>
      </w:pPr>
    </w:p>
    <w:p w14:paraId="38ADB04D" w14:textId="3B521C04" w:rsidR="00974EE6" w:rsidRPr="00C37EB7" w:rsidRDefault="00974EE6" w:rsidP="00C37EB7">
      <w:pPr>
        <w:pStyle w:val="ListParagraph"/>
        <w:spacing w:line="480" w:lineRule="auto"/>
        <w:jc w:val="center"/>
        <w:rPr>
          <w:rFonts w:ascii="Times New Roman" w:hAnsi="Times New Roman" w:cs="Times New Roman"/>
          <w:sz w:val="24"/>
          <w:szCs w:val="24"/>
        </w:rPr>
      </w:pPr>
      <w:r w:rsidRPr="00C37EB7">
        <w:rPr>
          <w:rFonts w:ascii="Times New Roman" w:hAnsi="Times New Roman" w:cs="Times New Roman"/>
          <w:sz w:val="24"/>
          <w:szCs w:val="24"/>
        </w:rPr>
        <w:lastRenderedPageBreak/>
        <w:t>REFERENCES</w:t>
      </w:r>
    </w:p>
    <w:p w14:paraId="223F3D48" w14:textId="77777777" w:rsidR="00567C7B" w:rsidRPr="00C37EB7" w:rsidRDefault="00567C7B" w:rsidP="00C37EB7">
      <w:pPr>
        <w:spacing w:line="480" w:lineRule="auto"/>
        <w:ind w:left="720" w:hanging="720"/>
        <w:rPr>
          <w:rFonts w:ascii="Times New Roman" w:hAnsi="Times New Roman" w:cs="Times New Roman"/>
          <w:sz w:val="24"/>
          <w:szCs w:val="24"/>
        </w:rPr>
      </w:pPr>
      <w:bookmarkStart w:id="4" w:name="_Hlk53680510"/>
      <w:r w:rsidRPr="00C37EB7">
        <w:rPr>
          <w:rFonts w:ascii="Times New Roman" w:hAnsi="Times New Roman" w:cs="Times New Roman"/>
          <w:sz w:val="24"/>
          <w:szCs w:val="24"/>
        </w:rPr>
        <w:t>Dean,</w:t>
      </w:r>
      <w:bookmarkEnd w:id="4"/>
      <w:r w:rsidRPr="00C37EB7">
        <w:rPr>
          <w:rFonts w:ascii="Times New Roman" w:hAnsi="Times New Roman" w:cs="Times New Roman"/>
          <w:sz w:val="24"/>
          <w:szCs w:val="24"/>
        </w:rPr>
        <w:t xml:space="preserve"> E., Skinner, M., </w:t>
      </w:r>
      <w:proofErr w:type="spellStart"/>
      <w:r w:rsidRPr="00C37EB7">
        <w:rPr>
          <w:rFonts w:ascii="Times New Roman" w:hAnsi="Times New Roman" w:cs="Times New Roman"/>
          <w:sz w:val="24"/>
          <w:szCs w:val="24"/>
        </w:rPr>
        <w:t>Myezwa</w:t>
      </w:r>
      <w:proofErr w:type="spellEnd"/>
      <w:r w:rsidRPr="00C37EB7">
        <w:rPr>
          <w:rFonts w:ascii="Times New Roman" w:hAnsi="Times New Roman" w:cs="Times New Roman"/>
          <w:sz w:val="24"/>
          <w:szCs w:val="24"/>
        </w:rPr>
        <w:t xml:space="preserve">, H., </w:t>
      </w:r>
      <w:proofErr w:type="spellStart"/>
      <w:r w:rsidRPr="00C37EB7">
        <w:rPr>
          <w:rFonts w:ascii="Times New Roman" w:hAnsi="Times New Roman" w:cs="Times New Roman"/>
          <w:sz w:val="24"/>
          <w:szCs w:val="24"/>
        </w:rPr>
        <w:t>Mkumbuzi</w:t>
      </w:r>
      <w:proofErr w:type="spellEnd"/>
      <w:r w:rsidRPr="00C37EB7">
        <w:rPr>
          <w:rFonts w:ascii="Times New Roman" w:hAnsi="Times New Roman" w:cs="Times New Roman"/>
          <w:sz w:val="24"/>
          <w:szCs w:val="24"/>
        </w:rPr>
        <w:t>, V., Mostert, K., Parra, D. C</w:t>
      </w:r>
      <w:proofErr w:type="gramStart"/>
      <w:r w:rsidRPr="00C37EB7">
        <w:rPr>
          <w:rFonts w:ascii="Times New Roman" w:hAnsi="Times New Roman" w:cs="Times New Roman"/>
          <w:sz w:val="24"/>
          <w:szCs w:val="24"/>
        </w:rPr>
        <w:t>., ...</w:t>
      </w:r>
      <w:proofErr w:type="gramEnd"/>
      <w:r w:rsidRPr="00C37EB7">
        <w:rPr>
          <w:rFonts w:ascii="Times New Roman" w:hAnsi="Times New Roman" w:cs="Times New Roman"/>
          <w:sz w:val="24"/>
          <w:szCs w:val="24"/>
        </w:rPr>
        <w:t xml:space="preserve"> &amp; Bruno, S. (2019). Health competency standards in physical therapist practice. Physical therapy, 99(9), 1242-1254.</w:t>
      </w:r>
    </w:p>
    <w:p w14:paraId="6F1EA8F4" w14:textId="77777777" w:rsidR="00567C7B" w:rsidRPr="00C37EB7" w:rsidRDefault="00567C7B" w:rsidP="00C37EB7">
      <w:pPr>
        <w:spacing w:line="480" w:lineRule="auto"/>
        <w:ind w:left="720" w:hanging="720"/>
        <w:rPr>
          <w:rFonts w:ascii="Times New Roman" w:hAnsi="Times New Roman" w:cs="Times New Roman"/>
          <w:sz w:val="24"/>
          <w:szCs w:val="24"/>
        </w:rPr>
      </w:pPr>
      <w:bookmarkStart w:id="5" w:name="_Hlk53680755"/>
      <w:proofErr w:type="spellStart"/>
      <w:r w:rsidRPr="00C37EB7">
        <w:rPr>
          <w:rFonts w:ascii="Times New Roman" w:hAnsi="Times New Roman" w:cs="Times New Roman"/>
          <w:sz w:val="24"/>
          <w:szCs w:val="24"/>
        </w:rPr>
        <w:t>Garba</w:t>
      </w:r>
      <w:proofErr w:type="spellEnd"/>
      <w:r w:rsidRPr="00C37EB7">
        <w:rPr>
          <w:rFonts w:ascii="Times New Roman" w:hAnsi="Times New Roman" w:cs="Times New Roman"/>
          <w:sz w:val="24"/>
          <w:szCs w:val="24"/>
        </w:rPr>
        <w:t xml:space="preserve">, R. M., &amp; </w:t>
      </w:r>
      <w:proofErr w:type="spellStart"/>
      <w:r w:rsidRPr="00C37EB7">
        <w:rPr>
          <w:rFonts w:ascii="Times New Roman" w:hAnsi="Times New Roman" w:cs="Times New Roman"/>
          <w:sz w:val="24"/>
          <w:szCs w:val="24"/>
        </w:rPr>
        <w:t>Gadanya</w:t>
      </w:r>
      <w:proofErr w:type="spellEnd"/>
      <w:r w:rsidRPr="00C37EB7">
        <w:rPr>
          <w:rFonts w:ascii="Times New Roman" w:hAnsi="Times New Roman" w:cs="Times New Roman"/>
          <w:sz w:val="24"/>
          <w:szCs w:val="24"/>
        </w:rPr>
        <w:t xml:space="preserve">, M. A. (2017). </w:t>
      </w:r>
      <w:bookmarkEnd w:id="5"/>
      <w:r w:rsidRPr="00C37EB7">
        <w:rPr>
          <w:rFonts w:ascii="Times New Roman" w:hAnsi="Times New Roman" w:cs="Times New Roman"/>
          <w:sz w:val="24"/>
          <w:szCs w:val="24"/>
        </w:rPr>
        <w:t xml:space="preserve">The role of intervention mapping in designing disease prevention interventions: A systematic review of the literature. </w:t>
      </w:r>
      <w:proofErr w:type="spellStart"/>
      <w:r w:rsidRPr="00C37EB7">
        <w:rPr>
          <w:rFonts w:ascii="Times New Roman" w:hAnsi="Times New Roman" w:cs="Times New Roman"/>
          <w:sz w:val="24"/>
          <w:szCs w:val="24"/>
        </w:rPr>
        <w:t>PLoS</w:t>
      </w:r>
      <w:proofErr w:type="spellEnd"/>
      <w:r w:rsidRPr="00C37EB7">
        <w:rPr>
          <w:rFonts w:ascii="Times New Roman" w:hAnsi="Times New Roman" w:cs="Times New Roman"/>
          <w:sz w:val="24"/>
          <w:szCs w:val="24"/>
        </w:rPr>
        <w:t xml:space="preserve"> One, 12(3), e0174438.</w:t>
      </w:r>
    </w:p>
    <w:p w14:paraId="06448285" w14:textId="77777777" w:rsidR="00567C7B" w:rsidRPr="00C37EB7" w:rsidRDefault="00567C7B" w:rsidP="00C37EB7">
      <w:pPr>
        <w:spacing w:line="480" w:lineRule="auto"/>
        <w:ind w:left="720" w:hanging="720"/>
        <w:rPr>
          <w:rFonts w:ascii="Times New Roman" w:hAnsi="Times New Roman" w:cs="Times New Roman"/>
          <w:sz w:val="24"/>
          <w:szCs w:val="24"/>
        </w:rPr>
      </w:pPr>
      <w:bookmarkStart w:id="6" w:name="_Hlk53680332"/>
      <w:r w:rsidRPr="00C37EB7">
        <w:rPr>
          <w:rFonts w:ascii="Times New Roman" w:hAnsi="Times New Roman" w:cs="Times New Roman"/>
          <w:sz w:val="24"/>
          <w:szCs w:val="24"/>
        </w:rPr>
        <w:t>Gray, A. (2016).</w:t>
      </w:r>
      <w:bookmarkEnd w:id="6"/>
      <w:r w:rsidRPr="00C37EB7">
        <w:rPr>
          <w:rFonts w:ascii="Times New Roman" w:hAnsi="Times New Roman" w:cs="Times New Roman"/>
          <w:sz w:val="24"/>
          <w:szCs w:val="24"/>
        </w:rPr>
        <w:t xml:space="preserve"> Advanced or advancing nursing practice: what is the future direction for nursing</w:t>
      </w:r>
      <w:proofErr w:type="gramStart"/>
      <w:r w:rsidRPr="00C37EB7">
        <w:rPr>
          <w:rFonts w:ascii="Times New Roman" w:hAnsi="Times New Roman" w:cs="Times New Roman"/>
          <w:sz w:val="24"/>
          <w:szCs w:val="24"/>
        </w:rPr>
        <w:t>?.</w:t>
      </w:r>
      <w:proofErr w:type="gramEnd"/>
      <w:r w:rsidRPr="00C37EB7">
        <w:rPr>
          <w:rFonts w:ascii="Times New Roman" w:hAnsi="Times New Roman" w:cs="Times New Roman"/>
          <w:sz w:val="24"/>
          <w:szCs w:val="24"/>
        </w:rPr>
        <w:t xml:space="preserve"> British Journal of Nursing, 25(1), 8-13.</w:t>
      </w:r>
    </w:p>
    <w:p w14:paraId="0D4FCEC2" w14:textId="77777777" w:rsidR="00567C7B" w:rsidRPr="00C37EB7" w:rsidRDefault="00567C7B" w:rsidP="00C37EB7">
      <w:pPr>
        <w:spacing w:line="480" w:lineRule="auto"/>
        <w:ind w:left="720" w:hanging="720"/>
        <w:rPr>
          <w:rFonts w:ascii="Times New Roman" w:hAnsi="Times New Roman" w:cs="Times New Roman"/>
          <w:sz w:val="24"/>
          <w:szCs w:val="24"/>
        </w:rPr>
      </w:pPr>
      <w:bookmarkStart w:id="7" w:name="_Hlk53680420"/>
      <w:proofErr w:type="spellStart"/>
      <w:r w:rsidRPr="00C37EB7">
        <w:rPr>
          <w:rFonts w:ascii="Times New Roman" w:hAnsi="Times New Roman" w:cs="Times New Roman"/>
          <w:sz w:val="24"/>
          <w:szCs w:val="24"/>
        </w:rPr>
        <w:t>Kost</w:t>
      </w:r>
      <w:proofErr w:type="spellEnd"/>
      <w:r w:rsidRPr="00C37EB7">
        <w:rPr>
          <w:rFonts w:ascii="Times New Roman" w:hAnsi="Times New Roman" w:cs="Times New Roman"/>
          <w:sz w:val="24"/>
          <w:szCs w:val="24"/>
        </w:rPr>
        <w:t>,</w:t>
      </w:r>
      <w:bookmarkEnd w:id="7"/>
      <w:r w:rsidRPr="00C37EB7">
        <w:rPr>
          <w:rFonts w:ascii="Times New Roman" w:hAnsi="Times New Roman" w:cs="Times New Roman"/>
          <w:sz w:val="24"/>
          <w:szCs w:val="24"/>
        </w:rPr>
        <w:t xml:space="preserve"> G. J., Zadran, A., Zadran, L., &amp; Ventura, I. (2019). Point-of-care testing curriculum and accreditation for Public Health—Enabling preparedness, response, and higher standards of care at points of need. Frontiers in public health, 6, 385.</w:t>
      </w:r>
    </w:p>
    <w:p w14:paraId="49BBA2EC" w14:textId="77777777" w:rsidR="00567C7B" w:rsidRPr="00C37EB7" w:rsidRDefault="00567C7B" w:rsidP="00C37EB7">
      <w:pPr>
        <w:spacing w:line="480" w:lineRule="auto"/>
        <w:ind w:left="720" w:hanging="720"/>
        <w:rPr>
          <w:rFonts w:ascii="Times New Roman" w:hAnsi="Times New Roman" w:cs="Times New Roman"/>
          <w:sz w:val="24"/>
          <w:szCs w:val="24"/>
        </w:rPr>
      </w:pPr>
      <w:bookmarkStart w:id="8" w:name="_Hlk53680572"/>
      <w:r w:rsidRPr="00C37EB7">
        <w:rPr>
          <w:rFonts w:ascii="Times New Roman" w:hAnsi="Times New Roman" w:cs="Times New Roman"/>
          <w:sz w:val="24"/>
          <w:szCs w:val="24"/>
        </w:rPr>
        <w:t xml:space="preserve">Ross, A. M., &amp; de Saxe </w:t>
      </w:r>
      <w:proofErr w:type="spellStart"/>
      <w:r w:rsidRPr="00C37EB7">
        <w:rPr>
          <w:rFonts w:ascii="Times New Roman" w:hAnsi="Times New Roman" w:cs="Times New Roman"/>
          <w:sz w:val="24"/>
          <w:szCs w:val="24"/>
        </w:rPr>
        <w:t>Zerden</w:t>
      </w:r>
      <w:proofErr w:type="spellEnd"/>
      <w:r w:rsidRPr="00C37EB7">
        <w:rPr>
          <w:rFonts w:ascii="Times New Roman" w:hAnsi="Times New Roman" w:cs="Times New Roman"/>
          <w:sz w:val="24"/>
          <w:szCs w:val="24"/>
        </w:rPr>
        <w:t>, L. (2020)</w:t>
      </w:r>
      <w:bookmarkEnd w:id="8"/>
      <w:r w:rsidRPr="00C37EB7">
        <w:rPr>
          <w:rFonts w:ascii="Times New Roman" w:hAnsi="Times New Roman" w:cs="Times New Roman"/>
          <w:sz w:val="24"/>
          <w:szCs w:val="24"/>
        </w:rPr>
        <w:t>. Prevention, health promotion, and social work: Aligning health and human service systems through a workforce for health. American Journal of Public Health, 110(S2), S186-S190.</w:t>
      </w:r>
    </w:p>
    <w:sectPr w:rsidR="00567C7B" w:rsidRPr="00C37EB7" w:rsidSect="00974E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85765" w14:textId="77777777" w:rsidR="00045BC9" w:rsidRDefault="00045BC9" w:rsidP="00974EE6">
      <w:pPr>
        <w:spacing w:after="0" w:line="240" w:lineRule="auto"/>
      </w:pPr>
      <w:r>
        <w:separator/>
      </w:r>
    </w:p>
  </w:endnote>
  <w:endnote w:type="continuationSeparator" w:id="0">
    <w:p w14:paraId="3ABED001" w14:textId="77777777" w:rsidR="00045BC9" w:rsidRDefault="00045BC9" w:rsidP="00974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F4CA0" w14:textId="77777777" w:rsidR="00045BC9" w:rsidRDefault="00045BC9" w:rsidP="00974EE6">
      <w:pPr>
        <w:spacing w:after="0" w:line="240" w:lineRule="auto"/>
      </w:pPr>
      <w:r>
        <w:separator/>
      </w:r>
    </w:p>
  </w:footnote>
  <w:footnote w:type="continuationSeparator" w:id="0">
    <w:p w14:paraId="607F3924" w14:textId="77777777" w:rsidR="00045BC9" w:rsidRDefault="00045BC9" w:rsidP="00974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63664"/>
      <w:docPartObj>
        <w:docPartGallery w:val="Page Numbers (Top of Page)"/>
        <w:docPartUnique/>
      </w:docPartObj>
    </w:sdtPr>
    <w:sdtEndPr>
      <w:rPr>
        <w:noProof/>
      </w:rPr>
    </w:sdtEndPr>
    <w:sdtContent>
      <w:p w14:paraId="7B71949D" w14:textId="6193EAF8" w:rsidR="00FD4D8F" w:rsidRDefault="00FD4D8F">
        <w:pPr>
          <w:pStyle w:val="Header"/>
          <w:jc w:val="right"/>
        </w:pPr>
        <w:r>
          <w:fldChar w:fldCharType="begin"/>
        </w:r>
        <w:r>
          <w:instrText xml:space="preserve"> PAGE   \* MERGEFORMAT </w:instrText>
        </w:r>
        <w:r>
          <w:fldChar w:fldCharType="separate"/>
        </w:r>
        <w:r w:rsidR="00C37EB7">
          <w:rPr>
            <w:noProof/>
          </w:rPr>
          <w:t>6</w:t>
        </w:r>
        <w:r>
          <w:rPr>
            <w:noProof/>
          </w:rPr>
          <w:fldChar w:fldCharType="end"/>
        </w:r>
      </w:p>
    </w:sdtContent>
  </w:sdt>
  <w:p w14:paraId="01991FC7" w14:textId="5185C431" w:rsidR="00FD4D8F" w:rsidRPr="00974EE6" w:rsidRDefault="00FD4D8F">
    <w:pPr>
      <w:pStyle w:val="Header"/>
      <w:rPr>
        <w:rFonts w:ascii="Times New Roman" w:hAnsi="Times New Roman" w:cs="Times New Roman"/>
        <w:sz w:val="24"/>
        <w:szCs w:val="24"/>
      </w:rPr>
    </w:pPr>
    <w:r w:rsidRPr="00974EE6">
      <w:rPr>
        <w:rFonts w:ascii="Times New Roman" w:hAnsi="Times New Roman" w:cs="Times New Roman"/>
        <w:sz w:val="24"/>
        <w:szCs w:val="24"/>
      </w:rPr>
      <w:t>DEFINITION OF CONCEPTS.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047355"/>
      <w:docPartObj>
        <w:docPartGallery w:val="Page Numbers (Top of Page)"/>
        <w:docPartUnique/>
      </w:docPartObj>
    </w:sdtPr>
    <w:sdtEndPr>
      <w:rPr>
        <w:noProof/>
      </w:rPr>
    </w:sdtEndPr>
    <w:sdtContent>
      <w:p w14:paraId="5D7D764D" w14:textId="099B2342" w:rsidR="00FD4D8F" w:rsidRDefault="00FD4D8F">
        <w:pPr>
          <w:pStyle w:val="Header"/>
          <w:jc w:val="right"/>
        </w:pPr>
        <w:r>
          <w:fldChar w:fldCharType="begin"/>
        </w:r>
        <w:r>
          <w:instrText xml:space="preserve"> PAGE   \* MERGEFORMAT </w:instrText>
        </w:r>
        <w:r>
          <w:fldChar w:fldCharType="separate"/>
        </w:r>
        <w:r w:rsidR="00C37EB7">
          <w:rPr>
            <w:noProof/>
          </w:rPr>
          <w:t>1</w:t>
        </w:r>
        <w:r>
          <w:rPr>
            <w:noProof/>
          </w:rPr>
          <w:fldChar w:fldCharType="end"/>
        </w:r>
      </w:p>
    </w:sdtContent>
  </w:sdt>
  <w:p w14:paraId="7217F8E8" w14:textId="0015A18A" w:rsidR="00FD4D8F" w:rsidRPr="00974EE6" w:rsidRDefault="00FD4D8F">
    <w:pPr>
      <w:pStyle w:val="Header"/>
      <w:rPr>
        <w:rFonts w:ascii="Times New Roman" w:hAnsi="Times New Roman" w:cs="Times New Roman"/>
        <w:sz w:val="24"/>
        <w:szCs w:val="24"/>
      </w:rPr>
    </w:pPr>
    <w:r w:rsidRPr="00974EE6">
      <w:rPr>
        <w:rFonts w:ascii="Times New Roman" w:hAnsi="Times New Roman" w:cs="Times New Roman"/>
        <w:sz w:val="24"/>
        <w:szCs w:val="24"/>
      </w:rPr>
      <w:t>Running Head: DEFINITION OF CONCEPTS.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C364B"/>
    <w:multiLevelType w:val="hybridMultilevel"/>
    <w:tmpl w:val="4B4E7EDC"/>
    <w:lvl w:ilvl="0" w:tplc="3D36A524">
      <w:start w:val="1"/>
      <w:numFmt w:val="decimal"/>
      <w:lvlText w:val="%1."/>
      <w:lvlJc w:val="left"/>
      <w:pPr>
        <w:ind w:left="720" w:hanging="360"/>
      </w:pPr>
      <w:rPr>
        <w:rFonts w:hint="default"/>
      </w:rPr>
    </w:lvl>
    <w:lvl w:ilvl="1" w:tplc="022CBF44" w:tentative="1">
      <w:start w:val="1"/>
      <w:numFmt w:val="lowerLetter"/>
      <w:lvlText w:val="%2."/>
      <w:lvlJc w:val="left"/>
      <w:pPr>
        <w:ind w:left="1440" w:hanging="360"/>
      </w:pPr>
    </w:lvl>
    <w:lvl w:ilvl="2" w:tplc="364C7854" w:tentative="1">
      <w:start w:val="1"/>
      <w:numFmt w:val="lowerRoman"/>
      <w:lvlText w:val="%3."/>
      <w:lvlJc w:val="right"/>
      <w:pPr>
        <w:ind w:left="2160" w:hanging="180"/>
      </w:pPr>
    </w:lvl>
    <w:lvl w:ilvl="3" w:tplc="A28698D8" w:tentative="1">
      <w:start w:val="1"/>
      <w:numFmt w:val="decimal"/>
      <w:lvlText w:val="%4."/>
      <w:lvlJc w:val="left"/>
      <w:pPr>
        <w:ind w:left="2880" w:hanging="360"/>
      </w:pPr>
    </w:lvl>
    <w:lvl w:ilvl="4" w:tplc="0D04B0F4" w:tentative="1">
      <w:start w:val="1"/>
      <w:numFmt w:val="lowerLetter"/>
      <w:lvlText w:val="%5."/>
      <w:lvlJc w:val="left"/>
      <w:pPr>
        <w:ind w:left="3600" w:hanging="360"/>
      </w:pPr>
    </w:lvl>
    <w:lvl w:ilvl="5" w:tplc="1DD26AF6" w:tentative="1">
      <w:start w:val="1"/>
      <w:numFmt w:val="lowerRoman"/>
      <w:lvlText w:val="%6."/>
      <w:lvlJc w:val="right"/>
      <w:pPr>
        <w:ind w:left="4320" w:hanging="180"/>
      </w:pPr>
    </w:lvl>
    <w:lvl w:ilvl="6" w:tplc="D27EBD8A" w:tentative="1">
      <w:start w:val="1"/>
      <w:numFmt w:val="decimal"/>
      <w:lvlText w:val="%7."/>
      <w:lvlJc w:val="left"/>
      <w:pPr>
        <w:ind w:left="5040" w:hanging="360"/>
      </w:pPr>
    </w:lvl>
    <w:lvl w:ilvl="7" w:tplc="0DD6302A" w:tentative="1">
      <w:start w:val="1"/>
      <w:numFmt w:val="lowerLetter"/>
      <w:lvlText w:val="%8."/>
      <w:lvlJc w:val="left"/>
      <w:pPr>
        <w:ind w:left="5760" w:hanging="360"/>
      </w:pPr>
    </w:lvl>
    <w:lvl w:ilvl="8" w:tplc="1CA8DE8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75"/>
    <w:rsid w:val="00045BC9"/>
    <w:rsid w:val="0005480D"/>
    <w:rsid w:val="00062A53"/>
    <w:rsid w:val="00143175"/>
    <w:rsid w:val="001A5C5C"/>
    <w:rsid w:val="001B090A"/>
    <w:rsid w:val="00284A4E"/>
    <w:rsid w:val="002E016E"/>
    <w:rsid w:val="0042435F"/>
    <w:rsid w:val="00566045"/>
    <w:rsid w:val="00567C7B"/>
    <w:rsid w:val="00683881"/>
    <w:rsid w:val="006F7A38"/>
    <w:rsid w:val="007A762D"/>
    <w:rsid w:val="007F1F62"/>
    <w:rsid w:val="008449E1"/>
    <w:rsid w:val="009153AB"/>
    <w:rsid w:val="00974EE6"/>
    <w:rsid w:val="00A3288B"/>
    <w:rsid w:val="00A647E5"/>
    <w:rsid w:val="00B3192E"/>
    <w:rsid w:val="00B50024"/>
    <w:rsid w:val="00B765C9"/>
    <w:rsid w:val="00C37EB7"/>
    <w:rsid w:val="00D6520E"/>
    <w:rsid w:val="00DF0B6C"/>
    <w:rsid w:val="00E42504"/>
    <w:rsid w:val="00E71592"/>
    <w:rsid w:val="00FD4D8F"/>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8AC2"/>
  <w15:chartTrackingRefBased/>
  <w15:docId w15:val="{9F955008-36D4-40ED-9ADB-53EF0456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92E"/>
    <w:pPr>
      <w:ind w:left="720"/>
      <w:contextualSpacing/>
    </w:pPr>
  </w:style>
  <w:style w:type="paragraph" w:styleId="Header">
    <w:name w:val="header"/>
    <w:basedOn w:val="Normal"/>
    <w:link w:val="HeaderChar"/>
    <w:uiPriority w:val="99"/>
    <w:unhideWhenUsed/>
    <w:rsid w:val="00974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EE6"/>
  </w:style>
  <w:style w:type="paragraph" w:styleId="Footer">
    <w:name w:val="footer"/>
    <w:basedOn w:val="Normal"/>
    <w:link w:val="FooterChar"/>
    <w:uiPriority w:val="99"/>
    <w:unhideWhenUsed/>
    <w:rsid w:val="00974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2020-10-15T17:05:00Z</dcterms:created>
  <dcterms:modified xsi:type="dcterms:W3CDTF">2020-10-15T17:05:00Z</dcterms:modified>
</cp:coreProperties>
</file>